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2" w:rsidRDefault="00761D42" w:rsidP="00B705AF">
      <w:pPr>
        <w:jc w:val="center"/>
        <w:rPr>
          <w:lang w:val="kk-KZ"/>
        </w:rPr>
      </w:pPr>
    </w:p>
    <w:p w:rsidR="00697647" w:rsidRDefault="00697647" w:rsidP="00B705AF">
      <w:pPr>
        <w:jc w:val="center"/>
        <w:rPr>
          <w:lang w:val="kk-KZ"/>
        </w:rPr>
      </w:pPr>
      <w:r w:rsidRPr="00697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6DCF7" wp14:editId="0027D1E4">
                <wp:simplePos x="0" y="0"/>
                <wp:positionH relativeFrom="column">
                  <wp:posOffset>533400</wp:posOffset>
                </wp:positionH>
                <wp:positionV relativeFrom="paragraph">
                  <wp:posOffset>-19685</wp:posOffset>
                </wp:positionV>
                <wp:extent cx="6076950" cy="1108075"/>
                <wp:effectExtent l="0" t="0" r="19050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08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42pt;margin-top:-1.55pt;width:478.5pt;height:8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" filled="f" strokecolor="#243f60 [1604]" strokeweight="2pt"/>
            </w:pict>
          </mc:Fallback>
        </mc:AlternateContent>
      </w:r>
      <w:r w:rsidRPr="00697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8845F" wp14:editId="55DB1053">
                <wp:simplePos x="0" y="0"/>
                <wp:positionH relativeFrom="column">
                  <wp:posOffset>651510</wp:posOffset>
                </wp:positionH>
                <wp:positionV relativeFrom="paragraph">
                  <wp:posOffset>57785</wp:posOffset>
                </wp:positionV>
                <wp:extent cx="5836920" cy="932815"/>
                <wp:effectExtent l="0" t="0" r="1143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932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7" w:rsidRDefault="00C95597" w:rsidP="00697647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18"/>
                                <w:lang w:val="kk-KZ" w:eastAsia="ru-RU"/>
                              </w:rPr>
                              <w:t>Б</w:t>
                            </w: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18"/>
                                <w:lang w:val="kk-KZ" w:eastAsia="ru-RU"/>
                              </w:rPr>
                              <w:t>ІЛІМ АЛУШЫЛАРДЫ БІЛІМ БЕРУ ҰЙЫМДАРЫНЫҢ ТҮРЛЕРІ БОЙЫНША АУЫСТЫРУ ЖӘНЕ ҚАЙТА ҚАБЫЛДАУ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51.3pt;margin-top:4.55pt;width:459.6pt;height:7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" filled="f" strokeweight=".5pt">
                <v:textbox>
                  <w:txbxContent>
                    <w:p w:rsidR="00C95597" w:rsidRDefault="00C95597" w:rsidP="00697647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18"/>
                          <w:lang w:val="kk-KZ" w:eastAsia="ru-RU"/>
                        </w:rPr>
                        <w:t>БІЛІМ АЛУШЫЛАРДЫ БІЛІМ БЕРУ ҰЙЫМДАРЫНЫҢ ТҮРЛЕРІ БОЙЫНША АУЫСТЫРУ ЖӘНЕ ҚАЙТА ҚАБЫЛДАУ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1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7647" w:rsidRDefault="00697647" w:rsidP="00B705AF">
      <w:pPr>
        <w:jc w:val="center"/>
        <w:rPr>
          <w:lang w:val="kk-KZ"/>
        </w:rPr>
      </w:pPr>
    </w:p>
    <w:p w:rsidR="00697647" w:rsidRDefault="00697647" w:rsidP="00B705AF">
      <w:pPr>
        <w:jc w:val="center"/>
        <w:rPr>
          <w:lang w:val="kk-KZ"/>
        </w:rPr>
      </w:pPr>
    </w:p>
    <w:p w:rsidR="00697647" w:rsidRDefault="00697647" w:rsidP="00B705AF">
      <w:pPr>
        <w:jc w:val="center"/>
        <w:rPr>
          <w:lang w:val="kk-KZ"/>
        </w:rPr>
      </w:pPr>
    </w:p>
    <w:tbl>
      <w:tblPr>
        <w:tblStyle w:val="a3"/>
        <w:tblW w:w="10202" w:type="dxa"/>
        <w:jc w:val="center"/>
        <w:tblInd w:w="260" w:type="dxa"/>
        <w:tblLook w:val="04A0" w:firstRow="1" w:lastRow="0" w:firstColumn="1" w:lastColumn="0" w:noHBand="0" w:noVBand="1"/>
      </w:tblPr>
      <w:tblGrid>
        <w:gridCol w:w="496"/>
        <w:gridCol w:w="2547"/>
        <w:gridCol w:w="7159"/>
      </w:tblGrid>
      <w:tr w:rsidR="00697647" w:rsidRPr="004028D0" w:rsidTr="00697647">
        <w:trPr>
          <w:jc w:val="center"/>
        </w:trPr>
        <w:tc>
          <w:tcPr>
            <w:tcW w:w="10202" w:type="dxa"/>
            <w:gridSpan w:val="3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"Білім алушыларды білім беру ұйымдарының түрлері бойынша ауыстыру және қайта қабылдау" мемлекеттік көрсетілетін қызмет стандарты</w:t>
            </w:r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Көрсетілетін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берушінің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7159" w:type="dxa"/>
          </w:tcPr>
          <w:p w:rsidR="00697647" w:rsidRPr="00467B8B" w:rsidRDefault="00697647" w:rsidP="0069764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</w:t>
            </w:r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Мемлекеттік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ұсыну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тәсілдері</w:t>
            </w:r>
            <w:proofErr w:type="spellEnd"/>
          </w:p>
        </w:tc>
        <w:tc>
          <w:tcPr>
            <w:tcW w:w="7159" w:type="dxa"/>
          </w:tcPr>
          <w:p w:rsidR="00161042" w:rsidRPr="00467B8B" w:rsidRDefault="00697647" w:rsidP="0069764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техникалық және кәсіптік, орта білімнен кейінгі білім беру ұйымдары;</w:t>
            </w:r>
          </w:p>
          <w:p w:rsidR="00697647" w:rsidRPr="00467B8B" w:rsidRDefault="00697647" w:rsidP="0069764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"электрондық үкіметтің" www. egov. kz веб-порталы (бұдан әрі – портал)</w:t>
            </w:r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pStyle w:val="a7"/>
              <w:spacing w:after="360" w:line="285" w:lineRule="atLeast"/>
              <w:jc w:val="center"/>
              <w:textAlignment w:val="baseline"/>
              <w:rPr>
                <w:szCs w:val="28"/>
                <w:lang w:val="kk-KZ"/>
              </w:rPr>
            </w:pPr>
            <w:proofErr w:type="spellStart"/>
            <w:r w:rsidRPr="00467B8B">
              <w:rPr>
                <w:color w:val="000000"/>
                <w:spacing w:val="2"/>
                <w:szCs w:val="28"/>
              </w:rPr>
              <w:t>Мемлекеттік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br/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қызмет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көрсету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мерзі</w:t>
            </w:r>
            <w:proofErr w:type="gramStart"/>
            <w:r w:rsidRPr="00467B8B">
              <w:rPr>
                <w:color w:val="000000"/>
                <w:spacing w:val="2"/>
                <w:szCs w:val="28"/>
              </w:rPr>
              <w:t>м</w:t>
            </w:r>
            <w:proofErr w:type="gramEnd"/>
            <w:r w:rsidRPr="00467B8B">
              <w:rPr>
                <w:color w:val="000000"/>
                <w:spacing w:val="2"/>
                <w:szCs w:val="28"/>
              </w:rPr>
              <w:t>і</w:t>
            </w:r>
            <w:proofErr w:type="spellEnd"/>
          </w:p>
        </w:tc>
        <w:tc>
          <w:tcPr>
            <w:tcW w:w="7159" w:type="dxa"/>
          </w:tcPr>
          <w:p w:rsidR="00697647" w:rsidRPr="00467B8B" w:rsidRDefault="00697647" w:rsidP="00DB75F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Ауыстыру үшін:</w:t>
            </w:r>
            <w:r w:rsid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бір білім беру ұйымында бір мамандықтан екіншісіне немесе бір оқу нысанынан екіншісіне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 (үш) жұмыс күні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;</w:t>
            </w:r>
            <w:r w:rsid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бір білім беру ұйымынан басқа білім беру ұйымына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10 (он) жұмыс күні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;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техникалық және кәсіптік, орта білімнен кейінгі білімнің білім беру бағдарламаларын іске асыратын ұйымнан орта білімнің білім беру бағдарламаларын іске асыратын ұйымға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3 (үш) жұмыс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күні;</w:t>
            </w:r>
            <w:r w:rsid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ақылы негізден мемлекеттік білім беру тапсырысы бойынша оқуға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8 (сегіз) жұмыс күн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і;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бір оқу нысанынан басқа білім беру ұйымына – 10 (он) жұмыс күні ішінде;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Қайта қабылдау үшін: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бұрын білім алған білім алушы басқа білім беру ұйымына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10 (он) жұмыс күні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;</w:t>
            </w:r>
            <w:r w:rsid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– </w:t>
            </w:r>
            <w:r w:rsidRPr="00DB75F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 (үш) жұмыс күні</w:t>
            </w:r>
          </w:p>
        </w:tc>
      </w:tr>
      <w:tr w:rsidR="00697647" w:rsidRPr="00467B8B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Көрсету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нысаны</w:t>
            </w:r>
            <w:proofErr w:type="spellEnd"/>
          </w:p>
        </w:tc>
        <w:tc>
          <w:tcPr>
            <w:tcW w:w="7159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электрондық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қағаз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тү</w:t>
            </w:r>
            <w:proofErr w:type="gram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р</w:t>
            </w:r>
            <w:proofErr w:type="gram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інде</w:t>
            </w:r>
            <w:proofErr w:type="spellEnd"/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Мемлекеттік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көрсету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нәтижесі</w:t>
            </w:r>
            <w:proofErr w:type="spellEnd"/>
          </w:p>
        </w:tc>
        <w:tc>
          <w:tcPr>
            <w:tcW w:w="7159" w:type="dxa"/>
          </w:tcPr>
          <w:p w:rsidR="00697647" w:rsidRPr="00467B8B" w:rsidRDefault="00697647" w:rsidP="00467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Осы Қағидаларға 3, 4-қосымшаларға сәйкес ауыстыру немесе қайта қабылдау туралы хабарлама не себептерін көрсете отырып, мемлекеттік қызмет көрсетуден дәлелді бас тарту.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Көрсетілетін қызметті алушы көрсетілген мерзімде мемлекеттік көрсетілетін қызметтің нәтижесін алуға өтініш білдірмеген жағдайда, көрсетілетін қызметті беруші оларды көрсетілетін қызметті алушы алғанға дейін қабылдау орны бойынша сақтауды қамтамасыз етеді</w:t>
            </w:r>
          </w:p>
        </w:tc>
      </w:tr>
      <w:tr w:rsidR="00697647" w:rsidRPr="00467B8B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Мемлекеттік қызмет көрсету кезінде көрсетілетін қызметті алушыдан алынатын төлем мөлшері және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Қазақстан Республикасының заңнамасында көзделген жағдайларда оны алу тәсілдері</w:t>
            </w:r>
          </w:p>
        </w:tc>
        <w:tc>
          <w:tcPr>
            <w:tcW w:w="7159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Тегі</w:t>
            </w:r>
            <w:proofErr w:type="gram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н</w:t>
            </w:r>
            <w:proofErr w:type="spellEnd"/>
            <w:proofErr w:type="gramEnd"/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Ж</w:t>
            </w:r>
            <w:proofErr w:type="gram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ұмыс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кестесі</w:t>
            </w:r>
            <w:proofErr w:type="spellEnd"/>
          </w:p>
        </w:tc>
        <w:tc>
          <w:tcPr>
            <w:tcW w:w="7159" w:type="dxa"/>
          </w:tcPr>
          <w:p w:rsidR="00697647" w:rsidRPr="00467B8B" w:rsidRDefault="00697647" w:rsidP="00467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көрсетілетін қызметті берушіде: ҚР еңбек заңнамасына сәйкес демалыс және мереке күндерін қоспағанда, дүйсенбіден бастап жұманы қоса алғанда сағат 13.00-ден 14.00-ға дейінгі түскі үзіліспе</w:t>
            </w:r>
            <w:r w:rsid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н сағат 9.00-ден 18.00-ға дейін</w:t>
            </w:r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pStyle w:val="a7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Cs w:val="28"/>
              </w:rPr>
            </w:pPr>
            <w:r w:rsidRPr="00467B8B">
              <w:rPr>
                <w:color w:val="000000"/>
                <w:spacing w:val="2"/>
                <w:szCs w:val="28"/>
              </w:rPr>
              <w:br/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Құжаттардың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тізбесі</w:t>
            </w:r>
            <w:proofErr w:type="spellEnd"/>
          </w:p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7159" w:type="dxa"/>
          </w:tcPr>
          <w:p w:rsidR="00697647" w:rsidRPr="00467B8B" w:rsidRDefault="00697647" w:rsidP="00467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Ауыстыру үшін: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Бір білім беру ұйымында бір мамандықтан екіншісіне немесе бір оқу нысанынан екіншісіне: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ауыстыру туралы өтініш (немесе өзге де заңды өкілдері) еркін нысанда.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Бір білім беру ұйымынан басқа білім беру ұйымына: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ауыстыру туралы өтініш (немесе өзге де заңды өкілдері) еркін нысанда;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білім алушының ауысып кететін білім беру ұйымы басшысының қолымен және мөрімен куәландырылған сынақ кітапшасының (немесе үлгерім кітапшасының) көшірмесі.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Техникалық және кәсіптік, орта білімнен кейінгі білімнің білім беру бағдарламаларын іске асыратын ұйымнан орта білімнің білім беру бағдарламаларын іске асыратын ұйымға: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ауыстыру туралы өтініш (немесе өзге де заңды өкілдері) еркін нысанда;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басқа білім беру ұйымына келгені туралы талон.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Ақылы негізде оқудан мемлекеттік білім беру тапсырысы бойынша оқуға: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ауыстыру туралы өтініш (немесе өзге де заңды өкілдері) еркін нысанда.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Бір оқу нысанынан басқа білім беру ұйымына басқа нысанға: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ауыстыру туралы өтініш (немесе өзге де заңды өкілдері) еркін нысанда;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білім алушының ауысып кететін білім беру ұйымы басшысының қолымен және мөрімен куәландырылған сынақ кітапшасының (немесе үлгерім кітапшасының) көшірмесі.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Шетелдік білім беру ұйымынан Қазақстан Республикасының білім беру ұйымына ауыстыру немесе қайта қабылдау кезінде: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меңгерілген оқу бағдарламалары туралы құжат (академиялық анықтама немесе транскрипт);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Қазақстан Республикасы Білім және ғылым министрінің 2008 жылғы 10 қаңтардағы № 8 </w:t>
            </w:r>
            <w:hyperlink r:id="rId5" w:anchor="z2" w:history="1">
              <w:r w:rsidRPr="00467B8B">
                <w:rPr>
                  <w:rStyle w:val="a6"/>
                  <w:rFonts w:ascii="Times New Roman" w:hAnsi="Times New Roman" w:cs="Times New Roman"/>
                  <w:color w:val="073A5E"/>
                  <w:spacing w:val="2"/>
                  <w:sz w:val="24"/>
                  <w:szCs w:val="28"/>
                  <w:shd w:val="clear" w:color="auto" w:fill="FFFFFF"/>
                  <w:lang w:val="kk-KZ"/>
                </w:rPr>
                <w:t>бұйрығымен</w:t>
              </w:r>
            </w:hyperlink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 (Нормативтік құқықтық актілерді мемлекеттік тіркеу тізілімінде № 5135 болып тіркелген) бекітілген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3) шетелдік білім беру ұйымдарына түсу кезіндегі түсу сынақтарының нәтижелері.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Қайта қабылдау үшін:</w:t>
            </w:r>
            <w:r w:rsidR="00161042"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Бұрын білім алған білім алушы басқа білім беру ұйымына: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ата-аналарының бірінің (немесе өзге де заңды өкілдерінің) еркін нысандағы қайта қабылдау туралы өтініші;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"Білім алуды аяқтамаған адамдарға берілетін анықтама нысандарын бекіту туралы" Қазақстан Республикасы Білім және ғылым министрінің 2009 жылғы 12 маусымдағы №289 </w:t>
            </w:r>
            <w:hyperlink r:id="rId6" w:anchor="z1" w:history="1">
              <w:r w:rsidRPr="00467B8B">
                <w:rPr>
                  <w:rStyle w:val="a6"/>
                  <w:rFonts w:ascii="Times New Roman" w:hAnsi="Times New Roman" w:cs="Times New Roman"/>
                  <w:color w:val="073A5E"/>
                  <w:spacing w:val="2"/>
                  <w:sz w:val="24"/>
                  <w:szCs w:val="28"/>
                  <w:shd w:val="clear" w:color="auto" w:fill="FFFFFF"/>
                  <w:lang w:val="kk-KZ"/>
                </w:rPr>
                <w:t>бұйрығымен</w:t>
              </w:r>
            </w:hyperlink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 (Нормативтік құқықтық актілерді мемлекеттік тіркеу тізілімінде № 5717 болып тіркелген) бекітілген нысан бойынша білім алуды аяқтамаған адамдарға берілетін анықтаманың көшірмесі.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жағдайда:</w:t>
            </w:r>
            <w:r w:rsidRPr="00467B8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ата-аналарының бірінің (немесе өзге де заңды өкілдерінің) еркін нысандағы қайта қабылдау туралы өтініші;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төлем бойынша қарызын өтегені туралы құжат.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Жеке басты куәландыратын құжаттар туралы мәліметтерді көрсетілетін қызметті беруші тиісті мемлекеттік ақпараттық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lastRenderedPageBreak/>
              <w:t>жүйелерден "электрондық үкімет" шлюзі арқылы алады.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Егер ҚР заңдарында өзгеше көзделмесе, көрсетілетін қызметті алушы көрсетілетін қызметті берушіге мемлекеттік қызметтер көрсету кезінде ақпараттық жүйелерде қамтылған, заңмен қорғалатын құпияны құрайтын мәліметтерді пайдалануға келісім береді</w:t>
            </w:r>
          </w:p>
        </w:tc>
      </w:tr>
      <w:tr w:rsidR="00697647" w:rsidRPr="004028D0" w:rsidTr="00C04D36">
        <w:trPr>
          <w:jc w:val="center"/>
        </w:trPr>
        <w:tc>
          <w:tcPr>
            <w:tcW w:w="496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547" w:type="dxa"/>
          </w:tcPr>
          <w:p w:rsidR="00697647" w:rsidRPr="00467B8B" w:rsidRDefault="00697647" w:rsidP="006976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7159" w:type="dxa"/>
          </w:tcPr>
          <w:p w:rsidR="00697647" w:rsidRPr="00467B8B" w:rsidRDefault="00697647" w:rsidP="0069764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көрсетілетін қызметті алушының мемлекеттік көрсетілетін қызметті алу үшін ұсынған құжаттарының және (немесе) олардағы деректердің (мәліметтердің) дұрыс еместігінің анықталуы;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көрсетілетін қызметті алушының және (немесе) мемлекеттік қызмет көрсету үшін қажетті материалдар, деректер мен мәліметтердің осы Қағидаларда белгіленген талаптарға сәйкес келмеуі;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3) көрсетілетін қызметті алушыға қатысты соттың заңды күшіне енген шешімінің болуы, оның негізінде көрсетілетін қызметті алушының мемлекеттік көрсетілетін қызметті алумен байланысты арнаулы құқығынан айырылуы</w:t>
            </w:r>
          </w:p>
        </w:tc>
      </w:tr>
    </w:tbl>
    <w:p w:rsidR="00697647" w:rsidRDefault="00697647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C04D36" w:rsidRDefault="00C04D36" w:rsidP="00B705AF">
      <w:pPr>
        <w:jc w:val="center"/>
        <w:rPr>
          <w:lang w:val="kk-KZ"/>
        </w:rPr>
      </w:pPr>
    </w:p>
    <w:p w:rsidR="00697647" w:rsidRDefault="00697647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sectPr w:rsidR="00467B8B" w:rsidSect="00EB757F">
      <w:pgSz w:w="11906" w:h="16838"/>
      <w:pgMar w:top="567" w:right="567" w:bottom="567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A"/>
    <w:rsid w:val="00082C5D"/>
    <w:rsid w:val="000C6770"/>
    <w:rsid w:val="000F6149"/>
    <w:rsid w:val="00161042"/>
    <w:rsid w:val="001E3D29"/>
    <w:rsid w:val="00224B8E"/>
    <w:rsid w:val="002426D5"/>
    <w:rsid w:val="002645D7"/>
    <w:rsid w:val="0034583C"/>
    <w:rsid w:val="00347B50"/>
    <w:rsid w:val="003525D6"/>
    <w:rsid w:val="003A40AB"/>
    <w:rsid w:val="004028D0"/>
    <w:rsid w:val="00467B8B"/>
    <w:rsid w:val="004B70BD"/>
    <w:rsid w:val="00566CA4"/>
    <w:rsid w:val="0057086A"/>
    <w:rsid w:val="005E7A82"/>
    <w:rsid w:val="00697647"/>
    <w:rsid w:val="006F29AC"/>
    <w:rsid w:val="00721320"/>
    <w:rsid w:val="00761D42"/>
    <w:rsid w:val="007744F9"/>
    <w:rsid w:val="00777862"/>
    <w:rsid w:val="008138DB"/>
    <w:rsid w:val="0085112B"/>
    <w:rsid w:val="008A130C"/>
    <w:rsid w:val="00914D51"/>
    <w:rsid w:val="00A3464E"/>
    <w:rsid w:val="00B11966"/>
    <w:rsid w:val="00B16FF3"/>
    <w:rsid w:val="00B2560A"/>
    <w:rsid w:val="00B705AF"/>
    <w:rsid w:val="00C04D36"/>
    <w:rsid w:val="00C33277"/>
    <w:rsid w:val="00C95597"/>
    <w:rsid w:val="00D401C7"/>
    <w:rsid w:val="00D50902"/>
    <w:rsid w:val="00D55449"/>
    <w:rsid w:val="00D755AD"/>
    <w:rsid w:val="00DB75F1"/>
    <w:rsid w:val="00DE2E18"/>
    <w:rsid w:val="00E303BC"/>
    <w:rsid w:val="00EB757F"/>
    <w:rsid w:val="00EC4A91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090005717_" TargetMode="External"/><Relationship Id="rId5" Type="http://schemas.openxmlformats.org/officeDocument/2006/relationships/hyperlink" Target="https://adilet.zan.kz/kaz/docs/V080005135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28</cp:revision>
  <cp:lastPrinted>2023-11-03T08:45:00Z</cp:lastPrinted>
  <dcterms:created xsi:type="dcterms:W3CDTF">2023-11-02T06:10:00Z</dcterms:created>
  <dcterms:modified xsi:type="dcterms:W3CDTF">2023-12-05T10:54:00Z</dcterms:modified>
</cp:coreProperties>
</file>